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 w:before="0"/>
        <w:contextualSpacing w:val="0"/>
        <w:jc w:val="center"/>
      </w:pPr>
      <w:bookmarkStart w:id="0" w:colFirst="0" w:name="h.gjdgxs" w:colLast="0"/>
      <w:bookmarkEnd w:id="0"/>
      <w:r w:rsidRPr="00000000" w:rsidR="00000000" w:rsidDel="00000000">
        <w:rPr>
          <w:rFonts w:cs="Helvetica Neue" w:hAnsi="Helvetica Neue" w:eastAsia="Helvetica Neue" w:ascii="Helvetica Neue"/>
          <w:b w:val="1"/>
          <w:color w:val="000000"/>
          <w:sz w:val="36"/>
          <w:u w:val="none"/>
          <w:rtl w:val="0"/>
        </w:rPr>
        <w:t xml:space="preserve">Unit Planning Guide: Grade 5  Unit 5 of ___</w:t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  <w:jc w:val="center"/>
      </w:pP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14616.0" w:type="dxa"/>
        <w:jc w:val="center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340" w:hRule="atLeast"/>
        </w:trPr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2"/>
                <w:u w:val="none"/>
                <w:rtl w:val="0"/>
              </w:rPr>
              <w:t xml:space="preserve">Unit Title:  Exploration, Real and Imagined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2"/>
                <w:u w:val="none"/>
                <w:rtl w:val="0"/>
              </w:rPr>
              <w:t xml:space="preserve">Pacing (Duration of Unit): 8 weeks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2"/>
                <w:u w:val="none"/>
                <w:rtl w:val="0"/>
              </w:rPr>
              <w:t xml:space="preserve">Grade:5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2"/>
                <w:u w:val="none"/>
                <w:rtl w:val="0"/>
              </w:rPr>
              <w:t xml:space="preserve">Buffer Day(s):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 w:before="0"/>
        <w:contextualSpacing w:val="0"/>
        <w:jc w:val="center"/>
      </w:pPr>
      <w:r w:rsidRPr="00000000" w:rsidR="00000000" w:rsidDel="00000000">
        <w:rPr>
          <w:rtl w:val="0"/>
        </w:rPr>
      </w:r>
    </w:p>
    <w:tbl>
      <w:tblPr>
        <w:tblStyle w:val="KixTable2"/>
        <w:bidiVisual w:val="0"/>
        <w:tblW w:w="14616.0" w:type="dxa"/>
        <w:jc w:val="left"/>
        <w:tblInd w:w="5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340" w:hRule="atLeast"/>
        </w:trPr>
        <w:tc>
          <w:tcPr>
            <w:shd w:fill="e5b8b7"/>
            <w:tcMar>
              <w:top w:w="80.0" w:type="dxa"/>
              <w:left w:w="0.0" w:type="dxa"/>
              <w:bottom w:w="80.0" w:type="dxa"/>
              <w:right w:w="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4"/>
                <w:u w:val="none"/>
                <w:rtl w:val="0"/>
              </w:rPr>
              <w:t xml:space="preserve">Desired Results</w:t>
            </w:r>
          </w:p>
        </w:tc>
      </w:tr>
    </w:tbl>
    <w:p w:rsidP="00000000" w:rsidRPr="00000000" w:rsidR="00000000" w:rsidDel="00000000" w:rsidRDefault="00000000">
      <w:pPr>
        <w:spacing w:lineRule="auto" w:after="0" w:line="240" w:befor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3"/>
        <w:bidiVisual w:val="0"/>
        <w:tblW w:w="14616.0" w:type="dxa"/>
        <w:jc w:val="left"/>
        <w:tblInd w:w="5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340" w:hRule="atLeast"/>
        </w:trPr>
        <w:tc>
          <w:tcPr>
            <w:shd w:fill="f2f2f2"/>
            <w:tcMar>
              <w:top w:w="80.0" w:type="dxa"/>
              <w:left w:w="0.0" w:type="dxa"/>
              <w:bottom w:w="80.0" w:type="dxa"/>
              <w:right w:w="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Transfer Goals</w:t>
            </w:r>
          </w:p>
        </w:tc>
      </w:tr>
      <w:tr>
        <w:trPr>
          <w:trHeight w:val="340" w:hRule="atLeast"/>
        </w:trPr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i w:val="1"/>
                <w:color w:val="000000"/>
                <w:sz w:val="20"/>
                <w:u w:val="none"/>
                <w:rtl w:val="0"/>
              </w:rPr>
              <w:t xml:space="preserve">Students will be able to independently use their learning to: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40" w:before="0"/>
              <w:ind w:left="753" w:hanging="392"/>
              <w:rPr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Understand the power of words and images to transform lives and provide insight into the experiences of others and understanding of cultures and historical periods.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40" w:before="0"/>
              <w:ind w:left="753" w:hanging="392"/>
              <w:rPr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Read and comprehend a range of increasingly complex texts and media written for various audiences and purposes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40" w:before="0"/>
              <w:ind w:left="753" w:hanging="392"/>
              <w:rPr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Generate open ended questions and seek answers through critical analysis of text, media, interviews, and/or observations.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40" w:before="0"/>
              <w:ind w:left="753" w:hanging="392"/>
              <w:rPr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Communicate ideas effectively in writing to suit a particular audience and purpose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40" w:before="0"/>
              <w:ind w:left="753" w:hanging="392"/>
              <w:rPr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Communicate ideas effectively in discourse and oral presentations to suit various audiences and purposes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40" w:before="0"/>
              <w:ind w:left="753" w:hanging="392"/>
              <w:rPr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Expand their vocabulary and knowledge of English conventions in order to learn and convey precise understandings of concepts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40" w:before="0"/>
              <w:ind w:left="753" w:hanging="392"/>
              <w:rPr>
                <w:rFonts w:cs="Helvetica Neue" w:hAnsi="Helvetica Neue" w:eastAsia="Helvetica Neue" w:ascii="Helvetica Neue"/>
                <w:color w:val="000000"/>
                <w:sz w:val="20"/>
                <w:u w:val="none"/>
              </w:rPr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Develop the habit of reading for enjoyment</w:t>
            </w:r>
          </w:p>
        </w:tc>
      </w:tr>
    </w:tbl>
    <w:p w:rsidP="00000000" w:rsidRPr="00000000" w:rsidR="00000000" w:rsidDel="00000000" w:rsidRDefault="00000000">
      <w:pPr>
        <w:spacing w:lineRule="auto" w:after="0" w:line="240" w:befor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4"/>
        <w:bidiVisual w:val="0"/>
        <w:tblW w:w="14616.0" w:type="dxa"/>
        <w:jc w:val="left"/>
        <w:tblInd w:w="5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340" w:hRule="atLeast"/>
        </w:trPr>
        <w:tc>
          <w:tcPr>
            <w:shd w:fill="f2f2f2"/>
            <w:tcMar>
              <w:top w:w="80.0" w:type="dxa"/>
              <w:left w:w="0.0" w:type="dxa"/>
              <w:bottom w:w="80.0" w:type="dxa"/>
              <w:right w:w="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Established Goals (2011 MA Curriculum Frameworks Standards Incorporating the Common Core State Standards)</w:t>
            </w:r>
          </w:p>
        </w:tc>
      </w:tr>
    </w:tbl>
    <w:p w:rsidP="00000000" w:rsidRPr="00000000" w:rsidR="00000000" w:rsidDel="00000000" w:rsidRDefault="00000000">
      <w:pPr>
        <w:spacing w:lineRule="auto" w:after="0" w:line="240" w:befor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5"/>
        <w:bidiVisual w:val="0"/>
        <w:tblW w:w="14616.0" w:type="dxa"/>
        <w:jc w:val="left"/>
        <w:tblInd w:w="5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2120" w:hRule="atLeast"/>
        </w:trPr>
        <w:tc>
          <w:tcPr>
            <w:shd w:fill="f2f2f2"/>
            <w:tcMar>
              <w:top w:w="80.0" w:type="dxa"/>
              <w:left w:w="0.0" w:type="dxa"/>
              <w:bottom w:w="80.0" w:type="dxa"/>
              <w:right w:w="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Acquisition (*Mostly assessed through traditional summative assessments)</w:t>
            </w:r>
          </w:p>
        </w:tc>
        <w:tc>
          <w:tcPr>
            <w:tcMar>
              <w:left w:w="115.0" w:type="dxa"/>
              <w:right w:w="115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2120" w:hRule="atLeast"/>
        </w:trPr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Knowledge:</w:t>
            </w: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 Key basic concepts, facts, and key terms (written in phrases) students should be able to recall independently.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i w:val="1"/>
                <w:color w:val="000000"/>
                <w:sz w:val="20"/>
                <w:u w:val="none"/>
                <w:rtl w:val="0"/>
              </w:rPr>
              <w:t xml:space="preserve">Students will know …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Metaphor contributes to the tome and symbolism of a text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Nonsense literature explores how characters change 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Parodox is a literary device similar to idioms that play with language  “bittersweet”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Parody imitates a work of literature for comic effect ex. The Frog Prince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Style 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Symbol</w:t>
            </w:r>
          </w:p>
        </w:tc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Skills:</w:t>
            </w: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 The discrete skills and process students should be able to use independently (</w:t>
            </w: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single"/>
                <w:rtl w:val="0"/>
              </w:rPr>
              <w:t xml:space="preserve">Bloom’s Level of Learning should be noted in parentheses</w:t>
            </w: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.)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i w:val="1"/>
                <w:color w:val="000000"/>
                <w:sz w:val="20"/>
                <w:u w:val="none"/>
                <w:rtl w:val="0"/>
              </w:rPr>
              <w:t xml:space="preserve">Students will be skilled at:</w:t>
            </w:r>
          </w:p>
          <w:p w:rsidP="00000000" w:rsidRPr="00000000" w:rsidR="00000000" w:rsidDel="00000000" w:rsidRDefault="00000000">
            <w:pPr>
              <w:ind w:left="72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ind w:left="720" w:hanging="359"/>
              <w:rPr>
                <w:color w:val="000000"/>
                <w:sz w:val="22"/>
                <w:u w:val="none"/>
              </w:rPr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Comparing and contrasting fiction and non-fiction books about a specific topic by quoting accurately from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ind w:left="720" w:hanging="359"/>
              <w:rPr>
                <w:color w:val="000000"/>
                <w:sz w:val="22"/>
                <w:u w:val="none"/>
              </w:rPr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Finding similarities and differences in stories from various cultures.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ind w:left="720" w:hanging="359"/>
              <w:rPr>
                <w:color w:val="000000"/>
                <w:sz w:val="22"/>
                <w:u w:val="none"/>
              </w:rPr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Creating multimedia presentation based on information drawn from various sources.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ind w:left="720" w:hanging="359"/>
              <w:rPr>
                <w:color w:val="000000"/>
                <w:sz w:val="22"/>
                <w:u w:val="none"/>
              </w:rPr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Summarizing and evaluating the content and structure of a classmate’s presentation, evaluating how well they support their claims.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spacing w:lineRule="auto" w:after="0" w:line="240" w:before="0"/>
              <w:ind w:left="720" w:hanging="359"/>
              <w:contextualSpacing w:val="1"/>
              <w:rPr>
                <w:color w:val="000000"/>
                <w:sz w:val="20"/>
                <w:u w:val="none"/>
              </w:rPr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Defining related words and identifying their parts of speech (e.g. nation, national, nationality, nationwide, culture, cultural, cultivate, etc. ) </w:t>
            </w:r>
          </w:p>
        </w:tc>
      </w:tr>
      <w:tr>
        <w:trPr>
          <w:trHeight w:val="340" w:hRule="atLeast"/>
        </w:trPr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Standards (Priority Standards in bold):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RL.5.5 Explain how a series of chapters, scenes, or stanzas fit together to provide the overall structure of a particular story, drama, or poem.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RL5.7 Analyze how visual and multimedia elements contribute to the meaning, tone or beauty of the text (e.g. graphic novel, multimedia presentation of fiction, folktale, myth, or poem).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RI.5.8  Explain how an author uses reasons and evidence to support particular points in a text, identifying which reasons and evidence support which point or points.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RL.5.1Quote accurately from a text when explaining what the text says explicitly and when drawing inferences from the text.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RF.5.4  Read with sufficient accuracy and fluency to support comprehension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RF.5.3 Know and apply grade-level phonics and word analysis skills in decoding words.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W.5.3  Write narratives to develop real or imagined experiences or events using effective technique, descriptive details, and clear event sequences.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W.5.5 With guidance and support from adults and peers, develop and strengthen writing as needed by planning, revising, editing, rewriting, or trying a new approach.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SL.5.2 Summarize a written text read aloud or information presented in diverse media and formats, including visually, quantitatively, and orally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L5.5 Demonstrate understanding of figurative language, word relationships, and nuances in word relationships.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8db3e2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WiDA Standards (ELL)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8"/>
              </w:numPr>
              <w:spacing w:lineRule="auto" w:after="0" w:line="240" w:before="0"/>
              <w:ind w:left="0" w:hanging="392"/>
              <w:rPr>
                <w:rFonts w:cs="Helvetica Neue" w:hAnsi="Helvetica Neue" w:eastAsia="Helvetica Neue" w:ascii="Helvetica Neue"/>
                <w:b w:val="1"/>
                <w:color w:val="000000"/>
                <w:sz w:val="22"/>
                <w:u w:val="none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92"/>
              <w:rPr>
                <w:rFonts w:cs="Helvetica Neue" w:hAnsi="Helvetica Neue" w:eastAsia="Helvetica Neue" w:ascii="Helvetica Neue"/>
                <w:b w:val="1"/>
                <w:color w:val="000000"/>
                <w:sz w:val="22"/>
                <w:u w:val="none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7"/>
              </w:numPr>
              <w:spacing w:lineRule="auto" w:after="0" w:line="240" w:before="0"/>
              <w:ind w:left="0" w:hanging="392"/>
              <w:rPr>
                <w:rFonts w:cs="Helvetica Neue" w:hAnsi="Helvetica Neue" w:eastAsia="Helvetica Neue" w:ascii="Helvetica Neue"/>
                <w:b w:val="1"/>
                <w:color w:val="000000"/>
                <w:sz w:val="22"/>
                <w:u w:val="none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92"/>
              <w:rPr>
                <w:rFonts w:cs="Helvetica Neue" w:hAnsi="Helvetica Neue" w:eastAsia="Helvetica Neue" w:ascii="Helvetica Neue"/>
                <w:b w:val="1"/>
                <w:color w:val="000000"/>
                <w:sz w:val="22"/>
                <w:u w:val="none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92"/>
              <w:rPr>
                <w:rFonts w:cs="Helvetica Neue" w:hAnsi="Helvetica Neue" w:eastAsia="Helvetica Neue" w:ascii="Helvetica Neue"/>
                <w:b w:val="1"/>
                <w:color w:val="000000"/>
                <w:sz w:val="22"/>
                <w:u w:val="none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To be completed in collaboration with the ELL Department</w:t>
            </w:r>
          </w:p>
        </w:tc>
      </w:tr>
      <w:tr>
        <w:trPr>
          <w:trHeight w:val="3300" w:hRule="atLeast"/>
        </w:trPr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Big Ideas:</w:t>
            </w: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 (Statements and concepts written in teacher friendly language which reflect the important [but not obvious] generalizations we want students to be able to arrive at. These are used by the teacher to focus daily instruction.)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ind w:left="0" w:hanging="392"/>
              <w:rPr>
                <w:rFonts w:cs="Helvetica Neue" w:hAnsi="Helvetica Neue" w:eastAsia="Helvetica Neue" w:ascii="Helvetica Neue"/>
                <w:color w:val="000000"/>
                <w:sz w:val="20"/>
                <w:u w:val="none"/>
              </w:rPr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Students will have the opportunity to read, view, discuss similarities and differences between written and visual representations of a genre.</w:t>
            </w:r>
          </w:p>
        </w:tc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Essential Questions: </w:t>
            </w: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(Questions which frame ongoing and important inquires about the big ideas. They are written for students and used in daily instruction to help engage students in meaningful thinking.)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ind w:left="0" w:hanging="392"/>
              <w:rPr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 What do people learn from exploring their world?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ind w:left="0" w:hanging="392"/>
              <w:rPr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none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 w:befor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6"/>
        <w:bidiVisual w:val="0"/>
        <w:tblW w:w="14616.0" w:type="dxa"/>
        <w:jc w:val="left"/>
        <w:tblInd w:w="5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340" w:hRule="atLeast"/>
        </w:trPr>
        <w:tc>
          <w:tcPr>
            <w:shd w:fill="f2f2f2"/>
            <w:tcMar>
              <w:top w:w="80.0" w:type="dxa"/>
              <w:left w:w="0.0" w:type="dxa"/>
              <w:bottom w:w="80.0" w:type="dxa"/>
              <w:right w:w="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u w:val="none"/>
                <w:rtl w:val="0"/>
              </w:rPr>
              <w:t xml:space="preserve">Meaning (*Mostly assessed through Performance Tasks/Assessments)</w:t>
            </w:r>
          </w:p>
        </w:tc>
      </w:tr>
    </w:tbl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</w:pPr>
      <w:r w:rsidRPr="00000000" w:rsidR="00000000" w:rsidDel="00000000">
        <w:rPr>
          <w:rtl w:val="0"/>
        </w:rPr>
      </w:r>
    </w:p>
    <w:sectPr>
      <w:footerReference r:id="rId5" w:type="default"/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Helvetica Neue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left" w:pos="0"/>
        <w:tab w:val="center" w:pos="4680"/>
        <w:tab w:val="center" w:pos="7200"/>
        <w:tab w:val="right" w:pos="9360"/>
        <w:tab w:val="right" w:pos="14380"/>
        <w:tab w:val="right" w:pos="14400"/>
      </w:tabs>
      <w:contextualSpacing w:val="0"/>
    </w:pPr>
    <w:r w:rsidRPr="00000000" w:rsidR="00000000" w:rsidDel="00000000">
      <w:rPr>
        <w:rFonts w:cs="Helvetica Neue" w:hAnsi="Helvetica Neue" w:eastAsia="Helvetica Neue" w:ascii="Helvetica Neue"/>
        <w:color w:val="000000"/>
        <w:sz w:val="20"/>
        <w:u w:val="none"/>
        <w:rtl w:val="0"/>
      </w:rPr>
      <w:tab/>
      <w:t xml:space="preserve">Page </w:t>
    </w:r>
    <w:fldSimple w:dirty="0" w:instr="PAGE" w:fldLock="0">
      <w:r w:rsidRPr="00000000" w:rsidR="00000000" w:rsidDel="00000000">
        <w:rPr>
          <w:rFonts w:cs="Helvetica Neue" w:hAnsi="Helvetica Neue" w:eastAsia="Helvetica Neue" w:ascii="Helvetica Neue"/>
          <w:color w:val="000000"/>
          <w:sz w:val="20"/>
          <w:u w:val="none"/>
        </w:rPr>
      </w:r>
    </w:fldSimple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abstractNum w:abstractNumId="5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7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abstractNum w:abstractNumId="8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abstractNum w:abstractNumId="9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0" w:line="240" w:before="0"/>
        <w:ind w:left="0" w:firstLine="0" w:right="0"/>
        <w:contextualSpacing w:val="1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5 ELA Unit 5.docx</dc:title>
</cp:coreProperties>
</file>